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tbl>
      <w:tblPr>
        <w:tblW w:w="9359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7"/>
        <w:gridCol w:w="289"/>
        <w:gridCol w:w="1381"/>
        <w:gridCol w:w="927"/>
        <w:gridCol w:w="1512"/>
        <w:gridCol w:w="2344"/>
        <w:gridCol w:w="352"/>
        <w:gridCol w:w="289"/>
        <w:gridCol w:w="1308"/>
      </w:tblGrid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066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Име и презиме</w:t>
            </w:r>
          </w:p>
        </w:tc>
        <w:tc>
          <w:tcPr>
            <w:tcW w:type="dxa" w:w="429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Goran Tuli</w:t>
            </w:r>
            <w:r>
              <w:rPr>
                <w:rFonts w:ascii="Times New Roman" w:cs="Cambria" w:hAnsi="Times New Roman" w:eastAsia="Cambria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ć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066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Звање</w:t>
            </w:r>
          </w:p>
        </w:tc>
        <w:tc>
          <w:tcPr>
            <w:tcW w:type="dxa" w:w="429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Redovni profesor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066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Ужа научна област</w:t>
            </w:r>
          </w:p>
        </w:tc>
        <w:tc>
          <w:tcPr>
            <w:tcW w:type="dxa" w:w="429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Hirurgija-ort.hirurgija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355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Академска каријера</w:t>
            </w:r>
          </w:p>
        </w:tc>
        <w:tc>
          <w:tcPr>
            <w:tcW w:type="dxa" w:w="15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Година 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Институција </w:t>
            </w:r>
          </w:p>
        </w:tc>
        <w:tc>
          <w:tcPr>
            <w:tcW w:type="dxa" w:w="194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Област 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355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Избор у звање</w:t>
            </w:r>
          </w:p>
        </w:tc>
        <w:tc>
          <w:tcPr>
            <w:tcW w:type="dxa" w:w="15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2021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MF UB</w:t>
            </w:r>
          </w:p>
        </w:tc>
        <w:tc>
          <w:tcPr>
            <w:tcW w:type="dxa" w:w="194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Hirurgija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355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Докторат</w:t>
            </w:r>
          </w:p>
        </w:tc>
        <w:tc>
          <w:tcPr>
            <w:tcW w:type="dxa" w:w="15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2003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MF UB</w:t>
            </w:r>
          </w:p>
        </w:tc>
        <w:tc>
          <w:tcPr>
            <w:tcW w:type="dxa" w:w="194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Hirurgija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355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Магистратура</w:t>
            </w:r>
          </w:p>
        </w:tc>
        <w:tc>
          <w:tcPr>
            <w:tcW w:type="dxa" w:w="15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1996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MF UB</w:t>
            </w:r>
          </w:p>
        </w:tc>
        <w:tc>
          <w:tcPr>
            <w:tcW w:type="dxa" w:w="194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Hirurgija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355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Мастер диплома</w:t>
            </w:r>
          </w:p>
        </w:tc>
        <w:tc>
          <w:tcPr>
            <w:tcW w:type="dxa" w:w="15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94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355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Диплома</w:t>
            </w:r>
          </w:p>
        </w:tc>
        <w:tc>
          <w:tcPr>
            <w:tcW w:type="dxa" w:w="15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1990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MF UB</w:t>
            </w:r>
          </w:p>
        </w:tc>
        <w:tc>
          <w:tcPr>
            <w:tcW w:type="dxa" w:w="194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9359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 xml:space="preserve">Списак предмета које наставник држи на докторским студијама 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9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Р</w:t>
            </w:r>
            <w:r>
              <w:rPr>
                <w:b w:val="1"/>
                <w:bCs w:val="1"/>
                <w:rtl w:val="0"/>
              </w:rPr>
              <w:t>.</w:t>
            </w:r>
            <w:r>
              <w:rPr>
                <w:b w:val="1"/>
                <w:bCs w:val="1"/>
                <w:rtl w:val="0"/>
              </w:rPr>
              <w:t>Б</w:t>
            </w:r>
            <w:r>
              <w:rPr>
                <w:b w:val="1"/>
                <w:bCs w:val="1"/>
                <w:rtl w:val="0"/>
              </w:rPr>
              <w:t>.</w:t>
            </w:r>
          </w:p>
        </w:tc>
        <w:tc>
          <w:tcPr>
            <w:tcW w:type="dxa" w:w="166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 xml:space="preserve">Ознака </w:t>
            </w:r>
          </w:p>
        </w:tc>
        <w:tc>
          <w:tcPr>
            <w:tcW w:type="dxa" w:w="673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Назив предмета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9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</w:t>
            </w:r>
          </w:p>
        </w:tc>
        <w:tc>
          <w:tcPr>
            <w:tcW w:type="dxa" w:w="166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RHir_m03</w:t>
            </w:r>
          </w:p>
        </w:tc>
        <w:tc>
          <w:tcPr>
            <w:tcW w:type="dxa" w:w="673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</w:pPr>
            <w:r>
              <w:rPr>
                <w:sz w:val="22"/>
                <w:szCs w:val="22"/>
                <w:rtl w:val="0"/>
              </w:rPr>
              <w:t>Nebiolo</w:t>
            </w:r>
            <w:r>
              <w:rPr>
                <w:sz w:val="22"/>
                <w:szCs w:val="22"/>
                <w:rtl w:val="0"/>
              </w:rPr>
              <w:t>š</w:t>
            </w:r>
            <w:r>
              <w:rPr>
                <w:sz w:val="22"/>
                <w:szCs w:val="22"/>
                <w:rtl w:val="0"/>
              </w:rPr>
              <w:t>ki materijali u rekonstrukciji organa i organskih sistema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9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</w:t>
            </w:r>
          </w:p>
        </w:tc>
        <w:tc>
          <w:tcPr>
            <w:tcW w:type="dxa" w:w="166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RHir_e03</w:t>
            </w:r>
          </w:p>
        </w:tc>
        <w:tc>
          <w:tcPr>
            <w:tcW w:type="dxa" w:w="673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</w:rPr>
              <w:t>Biolo</w:t>
            </w:r>
            <w:r>
              <w:rPr>
                <w:rFonts w:ascii="Times New Roman" w:cs="Cambria" w:hAnsi="Times New Roman" w:eastAsia="Cambria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</w:rPr>
              <w:t>š</w:t>
            </w: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</w:rPr>
              <w:t>ki i klini</w:t>
            </w:r>
            <w:r>
              <w:rPr>
                <w:rFonts w:ascii="Times New Roman" w:cs="Cambria" w:hAnsi="Times New Roman" w:eastAsia="Cambria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</w:rPr>
              <w:t>č</w:t>
            </w: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</w:rPr>
              <w:t>ki aspekti hirur</w:t>
            </w:r>
            <w:r>
              <w:rPr>
                <w:rFonts w:ascii="Times New Roman" w:cs="Cambria" w:hAnsi="Times New Roman" w:eastAsia="Cambria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</w:rPr>
              <w:t>š</w:t>
            </w: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</w:rPr>
              <w:t>ke rekonstrukcije ko</w:t>
            </w:r>
            <w:r>
              <w:rPr>
                <w:rFonts w:ascii="Times New Roman" w:cs="Cambria" w:hAnsi="Times New Roman" w:eastAsia="Cambria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</w:rPr>
              <w:t>š</w:t>
            </w: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</w:rPr>
              <w:t>tano-zglobnog sistema</w:t>
            </w:r>
          </w:p>
        </w:tc>
      </w:tr>
      <w:tr>
        <w:tblPrEx>
          <w:shd w:val="clear" w:color="auto" w:fill="ced7e7"/>
        </w:tblPrEx>
        <w:trPr>
          <w:trHeight w:val="255" w:hRule="atLeast"/>
        </w:trPr>
        <w:tc>
          <w:tcPr>
            <w:tcW w:type="dxa" w:w="9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6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73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55" w:hRule="atLeast"/>
        </w:trPr>
        <w:tc>
          <w:tcPr>
            <w:tcW w:type="dxa" w:w="9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66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73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9359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0"/>
                <w:bCs w:val="0"/>
                <w:rtl w:val="0"/>
              </w:rPr>
              <w:t xml:space="preserve">Најзначајнији радови </w:t>
            </w:r>
            <w:r>
              <w:rPr>
                <w:b w:val="1"/>
                <w:bCs w:val="1"/>
                <w:rtl w:val="0"/>
              </w:rPr>
              <w:t xml:space="preserve"> у складу са захтевима допунских услова  стандарда за дато поље </w:t>
            </w:r>
            <w:r>
              <w:rPr>
                <w:b w:val="1"/>
                <w:bCs w:val="1"/>
                <w:rtl w:val="0"/>
              </w:rPr>
              <w:t>(</w:t>
            </w:r>
            <w:r>
              <w:rPr>
                <w:b w:val="1"/>
                <w:bCs w:val="1"/>
                <w:rtl w:val="0"/>
              </w:rPr>
              <w:t xml:space="preserve">минимално </w:t>
            </w:r>
            <w:r>
              <w:rPr>
                <w:b w:val="1"/>
                <w:bCs w:val="1"/>
                <w:rtl w:val="0"/>
              </w:rPr>
              <w:t xml:space="preserve">10 </w:t>
            </w:r>
            <w:r>
              <w:rPr>
                <w:b w:val="1"/>
                <w:bCs w:val="1"/>
                <w:rtl w:val="0"/>
              </w:rPr>
              <w:t xml:space="preserve">не више од </w:t>
            </w:r>
            <w:r>
              <w:rPr>
                <w:b w:val="1"/>
                <w:bCs w:val="1"/>
                <w:rtl w:val="0"/>
              </w:rPr>
              <w:t>20)</w:t>
            </w:r>
          </w:p>
        </w:tc>
      </w:tr>
      <w:tr>
        <w:tblPrEx>
          <w:shd w:val="clear" w:color="auto" w:fill="ced7e7"/>
        </w:tblPrEx>
        <w:trPr>
          <w:trHeight w:val="9420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804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widowControl w:val="1"/>
              <w:numPr>
                <w:ilvl w:val="0"/>
                <w:numId w:val="1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Sreckovic Svetlana D.,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Tulic Goran DZ.,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 Jokanovic Maja N., Dabetic Uros Dj., Kadija Marko V.: Delayed droop foot after a combination of the adductor canal block and IPAK block following total kne arthroplasty. (2021); J Clin Anesth., vol.73: EPUB Jun 4.</w:t>
              <w:tab/>
              <w:tab/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 IF 9,452</w:t>
            </w:r>
          </w:p>
          <w:p>
            <w:pPr>
              <w:pStyle w:val="Heading 4"/>
              <w:widowControl w:val="1"/>
              <w:numPr>
                <w:ilvl w:val="0"/>
                <w:numId w:val="2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E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milija Dubljanin-Raspopovic, Winfried Meissner, Ruth Zaslansky, Marko Kadija, Sanja Tomanovic-Vijadinovic,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Goran Tulic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: Assocciations between early postoperative pain outcome and late functional outcomes in patients after knee arthroplasty. (2021); PloS ONE 16(7): e0253147, 1-11.                         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 IF 2,870</w:t>
            </w:r>
          </w:p>
          <w:p>
            <w:pPr>
              <w:pStyle w:val="Heading 4"/>
              <w:widowControl w:val="1"/>
              <w:numPr>
                <w:ilvl w:val="0"/>
                <w:numId w:val="2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Emilija Dubljanin-Raspopovic, Ljiljana Markovic-Denic, Marko Kadija, Sanja Tomanovic-Vujadinovic,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Goran Tulic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, Ivan Selakovic, Milica Aleksic: Simultaneous Hip and Distal radius fractures-Does it make difference with respect to rehabilitation? Geriatrics (2019); 4: 66</w:t>
              <w:tab/>
              <w:tab/>
              <w:tab/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 IF 0,316</w:t>
            </w:r>
          </w:p>
          <w:p>
            <w:pPr>
              <w:pStyle w:val="Heading 4"/>
              <w:widowControl w:val="1"/>
              <w:numPr>
                <w:ilvl w:val="0"/>
                <w:numId w:val="2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Ivan Selakovic, Emilija Dubljanin-Raspopovic, Ljiljana Markovic-Denic, Vuk Maru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en-US"/>
              </w:rPr>
              <w:t>š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ic, Andja Cirkovic, Marko Kadija, Sanja Tomanovic-Vujadinovic,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Goran Tulic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: Can early assessment of hand grip strenght in older hip fracture patients predict functional outcome?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(2019)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PloS ONE 14(8): e0213223, 1-10</w:t>
              <w:tab/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 IF 2,870</w:t>
            </w:r>
          </w:p>
          <w:p>
            <w:pPr>
              <w:pStyle w:val="Heading 4"/>
              <w:widowControl w:val="1"/>
              <w:numPr>
                <w:ilvl w:val="0"/>
                <w:numId w:val="2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Nemanja Damjanov, Branko Barac, Jelena Colic, Vladan Stevanovic, Ana Zekovic,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Goran Tulic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 (NP): The efficacy and safety of autologous conditioned serum (ACS) injectiones compared with betamethasone and placebo injectiones in the treatment of chronic shoulder pain due to supraspinatus tendinopathy: a prospective, randomized, double-blind, controlled study. Med Ultrason 2018; Vol.2 (3): 335-341 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 IF 1.11</w:t>
            </w:r>
            <w:r>
              <w:rPr>
                <w:rFonts w:ascii="Times New Roman" w:hAnsi="Times New Roman"/>
                <w:color w:val="000000"/>
                <w:kern w:val="36"/>
                <w:sz w:val="22"/>
                <w:szCs w:val="22"/>
                <w:u w:color="000000"/>
                <w:rtl w:val="0"/>
                <w:lang w:val="en-US"/>
              </w:rPr>
              <w:t xml:space="preserve">.       </w:t>
            </w:r>
          </w:p>
          <w:p>
            <w:pPr>
              <w:pStyle w:val="Heading 4"/>
              <w:widowControl w:val="1"/>
              <w:ind w:left="450" w:firstLine="0"/>
              <w:jc w:val="both"/>
            </w:pPr>
            <w:r>
              <w:rPr>
                <w:rFonts w:ascii="Times New Roman" w:cs="Times New Roman" w:hAnsi="Times New Roman" w:eastAsia="Times New Roman"/>
                <w:color w:val="000000"/>
                <w:kern w:val="36"/>
                <w:sz w:val="24"/>
                <w:szCs w:val="24"/>
                <w:u w:color="000000"/>
                <w:rtl w:val="0"/>
                <w:lang w:val="en-US"/>
              </w:rPr>
              <w:tab/>
              <w:tab/>
              <w:tab/>
              <w:tab/>
              <w:tab/>
              <w:t xml:space="preserve">   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Р</w:t>
            </w:r>
          </w:p>
        </w:tc>
      </w:tr>
      <w:tr>
        <w:tblPrEx>
          <w:shd w:val="clear" w:color="auto" w:fill="ced7e7"/>
        </w:tblPrEx>
        <w:trPr>
          <w:trHeight w:val="7921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804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widowControl w:val="1"/>
              <w:numPr>
                <w:ilvl w:val="0"/>
                <w:numId w:val="3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Goran Tulic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, Emilija Dubljanin-Raspopovic, Sanja Tomanovic-Vujadinovic, Jelena Sopta, Aleksandar Todorovic, Radovan Manojlovic : Prologed pre-operative hospital stay as a predictive factor for early outcomes and mortality after geriatric hip fracture surgery:a single institution open prospective cohort study. International Orthopaedics (SICOT) 2018; 42: 25-31. </w:t>
              <w:tab/>
              <w:tab/>
              <w:tab/>
              <w:tab/>
              <w:tab/>
              <w:tab/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 IF 2.52</w:t>
            </w:r>
          </w:p>
          <w:p>
            <w:pPr>
              <w:pStyle w:val="Heading 4"/>
              <w:widowControl w:val="1"/>
              <w:numPr>
                <w:ilvl w:val="0"/>
                <w:numId w:val="3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kern w:val="36"/>
                <w:sz w:val="22"/>
                <w:szCs w:val="22"/>
                <w:rtl w:val="0"/>
                <w:lang w:val="en-US"/>
              </w:rPr>
              <w:t xml:space="preserve">Davidovic R., Sopta J., Mandusic V., Krajnovic M., Stanojevic M., </w:t>
            </w:r>
            <w:r>
              <w:rPr>
                <w:rFonts w:ascii="Times New Roman" w:hAnsi="Times New Roman"/>
                <w:kern w:val="36"/>
                <w:sz w:val="22"/>
                <w:szCs w:val="22"/>
                <w:u w:val="single"/>
                <w:rtl w:val="0"/>
                <w:lang w:val="en-US"/>
              </w:rPr>
              <w:t>Tulic G</w:t>
            </w:r>
            <w:r>
              <w:rPr>
                <w:rFonts w:ascii="Times New Roman" w:hAnsi="Times New Roman"/>
                <w:kern w:val="36"/>
                <w:sz w:val="22"/>
                <w:szCs w:val="22"/>
                <w:rtl w:val="0"/>
                <w:lang w:val="en-US"/>
              </w:rPr>
              <w:t xml:space="preserve">.,    Dimitrijevic B.: p14(ARF) methylation is a common event in the pathogenesis and progression of myxoid and pleomorphic liposarcoma. Med Oncol 2013; 30(3): 682.      </w:t>
              <w:tab/>
              <w:tab/>
              <w:t xml:space="preserve">                                                           </w:t>
            </w:r>
            <w:r>
              <w:rPr>
                <w:rFonts w:ascii="Times New Roman" w:hAnsi="Times New Roman"/>
                <w:b w:val="1"/>
                <w:bCs w:val="1"/>
                <w:kern w:val="36"/>
                <w:sz w:val="22"/>
                <w:szCs w:val="22"/>
                <w:rtl w:val="0"/>
                <w:lang w:val="en-US"/>
              </w:rPr>
              <w:t>M21 IF 2.147</w:t>
            </w:r>
          </w:p>
          <w:p>
            <w:pPr>
              <w:pStyle w:val="Heading 4"/>
              <w:widowControl w:val="1"/>
              <w:numPr>
                <w:ilvl w:val="0"/>
                <w:numId w:val="3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Vasiljevi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en-US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J., Reljin B., Sopta J., MijucicV.,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Tuli</w:t>
            </w:r>
            <w:r>
              <w:rPr>
                <w:rFonts w:ascii="Times New Roman" w:hAnsi="Times New Roman" w:hint="default"/>
                <w:sz w:val="22"/>
                <w:szCs w:val="22"/>
                <w:u w:val="single"/>
                <w:rtl w:val="0"/>
                <w:lang w:val="en-US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G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., Reljin I.: Application of multifractal analysis on microscopic images in the classification of metastatic bone disease. Biomed Microdevices 2012;14:541-8 </w:t>
              <w:tab/>
              <w:tab/>
              <w:tab/>
              <w:tab/>
              <w:t xml:space="preserve"> 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IF 3.032</w:t>
            </w:r>
          </w:p>
          <w:p>
            <w:pPr>
              <w:pStyle w:val="Heading 4"/>
              <w:widowControl w:val="1"/>
              <w:numPr>
                <w:ilvl w:val="0"/>
                <w:numId w:val="3"/>
              </w:numPr>
              <w:bidi w:val="0"/>
              <w:ind w:right="0"/>
              <w:jc w:val="both"/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rtl w:val="0"/>
                <w:lang w:val="en-US"/>
              </w:rPr>
              <w:t>Sopta J.,Dra</w:t>
            </w:r>
            <w:r>
              <w:rPr>
                <w:rFonts w:ascii="Times New Roman" w:hAnsi="Times New Roman" w:hint="default"/>
                <w:b w:val="0"/>
                <w:bCs w:val="0"/>
                <w:sz w:val="22"/>
                <w:szCs w:val="22"/>
                <w:rtl w:val="0"/>
                <w:lang w:val="en-US"/>
              </w:rPr>
              <w:t>ž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rtl w:val="0"/>
                <w:lang w:val="en-US"/>
              </w:rPr>
              <w:t>i</w:t>
            </w:r>
            <w:r>
              <w:rPr>
                <w:rFonts w:ascii="Times New Roman" w:hAnsi="Times New Roman" w:hint="default"/>
                <w:b w:val="0"/>
                <w:bCs w:val="0"/>
                <w:sz w:val="22"/>
                <w:szCs w:val="22"/>
                <w:rtl w:val="0"/>
                <w:lang w:val="en-US"/>
              </w:rPr>
              <w:t xml:space="preserve">ć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rtl w:val="0"/>
                <w:lang w:val="en-US"/>
              </w:rPr>
              <w:t>R.,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 w:val="0"/>
                <w:lang w:val="en-US"/>
              </w:rPr>
              <w:t>Tuli</w:t>
            </w:r>
            <w:r>
              <w:rPr>
                <w:rFonts w:ascii="Times New Roman" w:hAnsi="Times New Roman" w:hint="default"/>
                <w:b w:val="0"/>
                <w:bCs w:val="0"/>
                <w:sz w:val="22"/>
                <w:szCs w:val="22"/>
                <w:u w:val="single"/>
                <w:rtl w:val="0"/>
                <w:lang w:val="en-US"/>
              </w:rPr>
              <w:t xml:space="preserve">ć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 w:val="0"/>
                <w:lang w:val="en-US"/>
              </w:rPr>
              <w:t>G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rtl w:val="0"/>
                <w:lang w:val="en-US"/>
              </w:rPr>
              <w:t>., Mijuci</w:t>
            </w:r>
            <w:r>
              <w:rPr>
                <w:rFonts w:ascii="Times New Roman" w:hAnsi="Times New Roman" w:hint="default"/>
                <w:b w:val="0"/>
                <w:bCs w:val="0"/>
                <w:sz w:val="22"/>
                <w:szCs w:val="22"/>
                <w:rtl w:val="0"/>
                <w:lang w:val="en-US"/>
              </w:rPr>
              <w:t xml:space="preserve">ć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rtl w:val="0"/>
                <w:lang w:val="en-US"/>
              </w:rPr>
              <w:t>V.,Tepav</w:t>
            </w:r>
            <w:r>
              <w:rPr>
                <w:rFonts w:ascii="Times New Roman" w:hAnsi="Times New Roman" w:hint="default"/>
                <w:b w:val="0"/>
                <w:bCs w:val="0"/>
                <w:sz w:val="22"/>
                <w:szCs w:val="22"/>
                <w:rtl w:val="0"/>
                <w:lang w:val="en-US"/>
              </w:rPr>
              <w:t>č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rtl w:val="0"/>
                <w:lang w:val="en-US"/>
              </w:rPr>
              <w:t>evi</w:t>
            </w:r>
            <w:r>
              <w:rPr>
                <w:rFonts w:ascii="Times New Roman" w:hAnsi="Times New Roman" w:hint="default"/>
                <w:b w:val="0"/>
                <w:bCs w:val="0"/>
                <w:sz w:val="22"/>
                <w:szCs w:val="22"/>
                <w:rtl w:val="0"/>
                <w:lang w:val="en-US"/>
              </w:rPr>
              <w:t xml:space="preserve">ć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rtl w:val="0"/>
                <w:lang w:val="en-US"/>
              </w:rPr>
              <w:t xml:space="preserve">Z.: Cemento-ossifying fibroma of jaws-  correlation of clinical and pathological findings. Clin Oral Invest  2011;15:201-7                                                                                          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IF 2.364</w:t>
            </w:r>
          </w:p>
          <w:p>
            <w:pPr>
              <w:pStyle w:val="Normal.0"/>
              <w:widowControl w:val="1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Sopta J., </w:t>
            </w:r>
            <w:r>
              <w:rPr>
                <w:sz w:val="22"/>
                <w:szCs w:val="22"/>
                <w:rtl w:val="0"/>
              </w:rPr>
              <w:t>Đ</w:t>
            </w:r>
            <w:r>
              <w:rPr>
                <w:sz w:val="22"/>
                <w:szCs w:val="22"/>
                <w:rtl w:val="0"/>
              </w:rPr>
              <w:t>or</w:t>
            </w:r>
            <w:r>
              <w:rPr>
                <w:sz w:val="22"/>
                <w:szCs w:val="22"/>
                <w:rtl w:val="0"/>
              </w:rPr>
              <w:t>đ</w:t>
            </w:r>
            <w:r>
              <w:rPr>
                <w:sz w:val="22"/>
                <w:szCs w:val="22"/>
                <w:rtl w:val="0"/>
              </w:rPr>
              <w:t>evi</w:t>
            </w:r>
            <w:r>
              <w:rPr>
                <w:sz w:val="22"/>
                <w:szCs w:val="22"/>
                <w:rtl w:val="0"/>
              </w:rPr>
              <w:t xml:space="preserve">ć </w:t>
            </w:r>
            <w:r>
              <w:rPr>
                <w:sz w:val="22"/>
                <w:szCs w:val="22"/>
                <w:rtl w:val="0"/>
              </w:rPr>
              <w:t>A.,</w:t>
            </w:r>
            <w:r>
              <w:rPr>
                <w:sz w:val="22"/>
                <w:szCs w:val="22"/>
                <w:u w:val="single"/>
                <w:rtl w:val="0"/>
              </w:rPr>
              <w:t xml:space="preserve"> Tuli</w:t>
            </w:r>
            <w:r>
              <w:rPr>
                <w:sz w:val="22"/>
                <w:szCs w:val="22"/>
                <w:u w:val="single"/>
                <w:rtl w:val="0"/>
              </w:rPr>
              <w:t xml:space="preserve">ć </w:t>
            </w:r>
            <w:r>
              <w:rPr>
                <w:sz w:val="22"/>
                <w:szCs w:val="22"/>
                <w:u w:val="single"/>
                <w:rtl w:val="0"/>
              </w:rPr>
              <w:t>G.</w:t>
            </w:r>
            <w:r>
              <w:rPr>
                <w:sz w:val="22"/>
                <w:szCs w:val="22"/>
                <w:rtl w:val="0"/>
              </w:rPr>
              <w:t>, Mijuci</w:t>
            </w:r>
            <w:r>
              <w:rPr>
                <w:sz w:val="22"/>
                <w:szCs w:val="22"/>
                <w:rtl w:val="0"/>
              </w:rPr>
              <w:t xml:space="preserve">ć </w:t>
            </w:r>
            <w:r>
              <w:rPr>
                <w:sz w:val="22"/>
                <w:szCs w:val="22"/>
                <w:rtl w:val="0"/>
                <w:lang w:val="en-US"/>
              </w:rPr>
              <w:t xml:space="preserve">V.: Dedifferentiated Chondrosarcoma: our clinico-pathological experience and dilemmas in 25 cases. J Cancer Res.Clin Oncol 2008;134:147-52                                    </w:t>
              <w:tab/>
              <w:tab/>
              <w:tab/>
              <w:tab/>
            </w:r>
            <w:r>
              <w:rPr>
                <w:b w:val="1"/>
                <w:bCs w:val="1"/>
                <w:sz w:val="22"/>
                <w:szCs w:val="22"/>
                <w:rtl w:val="0"/>
                <w:lang w:val="pt-PT"/>
              </w:rPr>
              <w:t>M 21 IF 2.217</w:t>
            </w:r>
          </w:p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804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804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55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804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804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26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51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2343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289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26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51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343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89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26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51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2343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289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55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804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55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804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55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804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55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804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24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26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51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2343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289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13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9359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</w:rPr>
              <w:t>Збирни подаци научне активност наставника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7762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Укупан број цитата</w:t>
            </w:r>
            <w:r>
              <w:rPr>
                <w:rtl w:val="0"/>
              </w:rPr>
              <w:t xml:space="preserve">, </w:t>
            </w:r>
            <w:r>
              <w:rPr>
                <w:rtl w:val="0"/>
              </w:rPr>
              <w:t>без аутоцитата</w:t>
            </w:r>
          </w:p>
        </w:tc>
        <w:tc>
          <w:tcPr>
            <w:tcW w:type="dxa" w:w="159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Preko 280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7762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Укупан број радова са </w:t>
            </w:r>
            <w:r>
              <w:rPr>
                <w:rtl w:val="0"/>
              </w:rPr>
              <w:t>SCI (</w:t>
            </w:r>
            <w:r>
              <w:rPr>
                <w:rtl w:val="0"/>
              </w:rPr>
              <w:t xml:space="preserve">или </w:t>
            </w:r>
            <w:r>
              <w:rPr>
                <w:rtl w:val="0"/>
              </w:rPr>
              <w:t xml:space="preserve">SSCI) </w:t>
            </w:r>
            <w:r>
              <w:rPr>
                <w:rtl w:val="0"/>
              </w:rPr>
              <w:t>листе</w:t>
            </w:r>
          </w:p>
        </w:tc>
        <w:tc>
          <w:tcPr>
            <w:tcW w:type="dxa" w:w="159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27</w:t>
            </w:r>
          </w:p>
        </w:tc>
      </w:tr>
      <w:tr>
        <w:tblPrEx>
          <w:shd w:val="clear" w:color="auto" w:fill="ced7e7"/>
        </w:tblPrEx>
        <w:trPr>
          <w:trHeight w:val="1421" w:hRule="atLeast"/>
        </w:trPr>
        <w:tc>
          <w:tcPr>
            <w:tcW w:type="dxa" w:w="7762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/>
            </w:pPr>
            <w:r>
              <w:rPr>
                <w:rtl w:val="0"/>
              </w:rPr>
              <w:t>Тренутно учешће на пројектима</w:t>
            </w:r>
            <w:r>
              <w:rPr>
                <w:rtl w:val="0"/>
              </w:rPr>
              <w:t xml:space="preserve"> </w:t>
            </w:r>
          </w:p>
          <w:p>
            <w:pPr>
              <w:pStyle w:val="Normal.0"/>
              <w:widowControl w:val="1"/>
              <w:jc w:val="both"/>
            </w:pP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</w:rPr>
              <w:t>“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Efikasnost i bezbednost primene autolognih mati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  <w:lang w:val="en-US"/>
              </w:rPr>
              <w:t>č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 xml:space="preserve">nih 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  <w:lang w:val="en-US"/>
              </w:rPr>
              <w:t>ć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elija iz ko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  <w:lang w:val="en-US"/>
              </w:rPr>
              <w:t>š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tane sr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  <w:lang w:val="en-US"/>
              </w:rPr>
              <w:t>ž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i (BMSC) u kombinaciji sa plazmom oboga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  <w:lang w:val="en-US"/>
              </w:rPr>
              <w:t>ć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enim trombocitima (PRP) u terapiji osteoartritisa kolena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</w:rPr>
              <w:t>”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  <w:lang w:val="en-US"/>
              </w:rPr>
              <w:t xml:space="preserve"> (GI 2020, u toku)-Investigator initiated study</w:t>
            </w:r>
          </w:p>
        </w:tc>
        <w:tc>
          <w:tcPr>
            <w:tcW w:type="dxa" w:w="159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/>
            </w:pPr>
            <w:r>
              <w:rPr>
                <w:rtl w:val="0"/>
              </w:rPr>
              <w:t>Домаћи</w:t>
            </w:r>
          </w:p>
          <w:p>
            <w:pPr>
              <w:pStyle w:val="Normal.0"/>
              <w:widowControl w:val="1"/>
              <w:jc w:val="both"/>
            </w:pPr>
            <w:r>
              <w:rPr>
                <w:sz w:val="22"/>
                <w:szCs w:val="22"/>
                <w:rtl w:val="0"/>
              </w:rPr>
              <w:t xml:space="preserve">      1</w:t>
            </w:r>
          </w:p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7762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Усавршавања </w:t>
            </w:r>
          </w:p>
        </w:tc>
        <w:tc>
          <w:tcPr>
            <w:tcW w:type="dxa" w:w="159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Italija, Francuska,Nema</w:t>
            </w:r>
            <w:r>
              <w:rPr>
                <w:rFonts w:ascii="Times New Roman" w:cs="Cambria" w:hAnsi="Times New Roman" w:eastAsia="Cambria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č</w:t>
            </w: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ka, Engleska</w:t>
            </w:r>
          </w:p>
        </w:tc>
      </w:tr>
      <w:tr>
        <w:tblPrEx>
          <w:shd w:val="clear" w:color="auto" w:fill="ced7e7"/>
        </w:tblPrEx>
        <w:trPr>
          <w:trHeight w:val="1102" w:hRule="atLeast"/>
        </w:trPr>
        <w:tc>
          <w:tcPr>
            <w:tcW w:type="dxa" w:w="9359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rPr/>
            </w:pPr>
            <w:r>
              <w:rPr>
                <w:rtl w:val="0"/>
              </w:rPr>
              <w:t>Други подаци које сматрате релевантним</w:t>
            </w:r>
            <w:r>
              <w:rPr>
                <w:rtl w:val="0"/>
              </w:rPr>
              <w:t>.  Specijalisti</w:t>
            </w:r>
            <w:r>
              <w:rPr>
                <w:rtl w:val="0"/>
              </w:rPr>
              <w:t>č</w:t>
            </w:r>
            <w:r>
              <w:rPr>
                <w:rtl w:val="0"/>
              </w:rPr>
              <w:t>ki ispit u Italiji 2005;</w:t>
            </w:r>
          </w:p>
          <w:p>
            <w:pPr>
              <w:pStyle w:val="Normal.0"/>
              <w:rPr/>
            </w:pPr>
            <w:r>
              <w:rPr>
                <w:rtl w:val="0"/>
              </w:rPr>
              <w:t>Š</w:t>
            </w:r>
            <w:r>
              <w:rPr>
                <w:rtl w:val="0"/>
              </w:rPr>
              <w:t>ef specijalisti</w:t>
            </w:r>
            <w:r>
              <w:rPr>
                <w:rtl w:val="0"/>
              </w:rPr>
              <w:t>č</w:t>
            </w:r>
            <w:r>
              <w:rPr>
                <w:rtl w:val="0"/>
              </w:rPr>
              <w:t>ke Katedre ortopedske hirurgije sa traumatologijom na MF UB;</w:t>
            </w:r>
          </w:p>
          <w:p>
            <w:pPr>
              <w:pStyle w:val="Normal.0"/>
            </w:pPr>
            <w:r>
              <w:rPr>
                <w:rtl w:val="0"/>
              </w:rPr>
              <w:t>Predsedavaju</w:t>
            </w:r>
            <w:r>
              <w:rPr>
                <w:rtl w:val="0"/>
              </w:rPr>
              <w:t>ć</w:t>
            </w:r>
            <w:r>
              <w:rPr>
                <w:rtl w:val="0"/>
              </w:rPr>
              <w:t>i i predava</w:t>
            </w:r>
            <w:r>
              <w:rPr>
                <w:rtl w:val="0"/>
              </w:rPr>
              <w:t xml:space="preserve">č </w:t>
            </w:r>
            <w:r>
              <w:rPr>
                <w:rtl w:val="0"/>
              </w:rPr>
              <w:t>po pozivu na 15 medjunarodnih i doma</w:t>
            </w:r>
            <w:r>
              <w:rPr>
                <w:rtl w:val="0"/>
              </w:rPr>
              <w:t>ć</w:t>
            </w:r>
            <w:r>
              <w:rPr>
                <w:rtl w:val="0"/>
              </w:rPr>
              <w:t>ih stru</w:t>
            </w:r>
            <w:r>
              <w:rPr>
                <w:rtl w:val="0"/>
              </w:rPr>
              <w:t>č</w:t>
            </w:r>
            <w:r>
              <w:rPr>
                <w:rtl w:val="0"/>
              </w:rPr>
              <w:t xml:space="preserve">nih kurseva i simpozijuma od 2015 do 2021; </w:t>
            </w:r>
            <w:r>
              <w:rPr>
                <w:rtl w:val="0"/>
                <w:lang w:val="en-US"/>
              </w:rPr>
              <w:t>AOTrauma Europe (MID) regional Faculty.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9359"/>
            <w:gridSpan w:val="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Максимална дужине не сме бити већа од  </w:t>
            </w:r>
            <w:r>
              <w:rPr>
                <w:rtl w:val="0"/>
              </w:rPr>
              <w:t xml:space="preserve">1 </w:t>
            </w:r>
            <w:r>
              <w:rPr>
                <w:rtl w:val="0"/>
              </w:rPr>
              <w:t>странице А</w:t>
            </w:r>
            <w:r>
              <w:rPr>
                <w:rtl w:val="0"/>
              </w:rPr>
              <w:t>4</w:t>
            </w:r>
          </w:p>
        </w:tc>
      </w:tr>
    </w:tbl>
    <w:p>
      <w:pPr>
        <w:pStyle w:val="Normal.0"/>
        <w:jc w:val="center"/>
      </w:pP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spacing w:after="60"/>
      <w:jc w:val="center"/>
    </w:pPr>
    <w:r>
      <w:rPr>
        <w:b w:val="1"/>
        <w:bCs w:val="1"/>
        <w:sz w:val="22"/>
        <w:szCs w:val="22"/>
        <w:rtl w:val="0"/>
      </w:rPr>
      <w:t>Табела</w:t>
    </w:r>
    <w:r>
      <w:rPr>
        <w:b w:val="1"/>
        <w:bCs w:val="1"/>
        <w:sz w:val="22"/>
        <w:szCs w:val="22"/>
        <w:rtl w:val="0"/>
      </w:rPr>
      <w:t>. 9.6.</w:t>
    </w:r>
    <w:r>
      <w:rPr>
        <w:sz w:val="22"/>
        <w:szCs w:val="22"/>
        <w:rtl w:val="0"/>
      </w:rPr>
      <w:t xml:space="preserve"> Компетентност наставника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ind w:left="4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1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9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1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33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05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7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21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ind w:left="4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1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6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8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30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02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7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6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8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ind w:left="45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14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86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58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30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402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74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46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18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Heading 4">
    <w:name w:val="Heading 4"/>
    <w:next w:val="Heading 4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